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BA3F330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BF1D74">
        <w:rPr>
          <w:sz w:val="23"/>
          <w:szCs w:val="23"/>
          <w:lang w:val="pt-BR"/>
        </w:rPr>
        <w:t>Provincia de Limón (Cantones)</w:t>
      </w:r>
    </w:p>
    <w:p w14:paraId="21B6FF91" w14:textId="24E6A2B4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F6041F" w:rsidRPr="00F6041F">
        <w:rPr>
          <w:rFonts w:ascii="Arial" w:hAnsi="Arial" w:cs="Arial"/>
          <w:sz w:val="23"/>
          <w:szCs w:val="23"/>
          <w:lang w:val="pt-PT"/>
        </w:rPr>
        <w:t>CR_IGN_M-CD-LIM_SD_4884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406E055E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080D42">
        <w:rPr>
          <w:sz w:val="23"/>
          <w:szCs w:val="23"/>
        </w:rPr>
        <w:t xml:space="preserve"> Instituto geográfico nacional 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7E54BDE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080D4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601B25B3" w:rsidR="001415ED" w:rsidRPr="00AE74C6" w:rsidRDefault="00080D42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Instituto geográfico nacional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1974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Provincia de Limón (Cantones)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440AEC2F" w:rsidR="00DA2E79" w:rsidRPr="00B25E8A" w:rsidRDefault="00DA2E79" w:rsidP="001043A3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080D42">
        <w:rPr>
          <w:sz w:val="23"/>
          <w:szCs w:val="23"/>
          <w:lang w:val="pt-PT"/>
        </w:rPr>
        <w:t>Limon, Cantones, ciudad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1043A3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80D42"/>
    <w:rsid w:val="000C4664"/>
    <w:rsid w:val="001043A3"/>
    <w:rsid w:val="001415ED"/>
    <w:rsid w:val="00421CF4"/>
    <w:rsid w:val="004A4A5A"/>
    <w:rsid w:val="009E0094"/>
    <w:rsid w:val="00A21FD3"/>
    <w:rsid w:val="00AE74C6"/>
    <w:rsid w:val="00B25E8A"/>
    <w:rsid w:val="00BA19E5"/>
    <w:rsid w:val="00BF1D74"/>
    <w:rsid w:val="00C329F7"/>
    <w:rsid w:val="00CD1D99"/>
    <w:rsid w:val="00D21D02"/>
    <w:rsid w:val="00DA2E79"/>
    <w:rsid w:val="00E16B16"/>
    <w:rsid w:val="00F6041F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FF11E17-F389-4382-B2D8-F22FE1D64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2</Pages>
  <Words>236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4</cp:revision>
  <dcterms:created xsi:type="dcterms:W3CDTF">2020-10-26T20:52:00Z</dcterms:created>
  <dcterms:modified xsi:type="dcterms:W3CDTF">2023-06-24T02:20:00Z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